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49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541"/>
        <w:gridCol w:w="2778"/>
        <w:gridCol w:w="1843"/>
        <w:gridCol w:w="1134"/>
        <w:gridCol w:w="1701"/>
      </w:tblGrid>
      <w:tr w:rsidR="00A07D48" w:rsidRPr="00C6166A" w:rsidTr="00C6166A">
        <w:trPr>
          <w:trHeight w:val="1215"/>
        </w:trPr>
        <w:tc>
          <w:tcPr>
            <w:tcW w:w="2494" w:type="dxa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</w:rPr>
            </w:pPr>
            <w:r w:rsidRPr="00C6166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62075" cy="685800"/>
                  <wp:effectExtent l="19050" t="0" r="9525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3"/>
          </w:tcPr>
          <w:p w:rsidR="00A07D48" w:rsidRPr="00C6166A" w:rsidRDefault="00A07D48" w:rsidP="00C616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D48" w:rsidRPr="00C6166A" w:rsidRDefault="0021766D" w:rsidP="00C616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LAPA- SUB </w:t>
            </w:r>
            <w:r w:rsidRPr="00C616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07D48" w:rsidRPr="00C616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AMELİYATI İÇİN BİLGİLENDİRİLMİŞ HASTA RIZA BELGESİ</w:t>
            </w:r>
          </w:p>
        </w:tc>
        <w:tc>
          <w:tcPr>
            <w:tcW w:w="2835" w:type="dxa"/>
            <w:gridSpan w:val="2"/>
          </w:tcPr>
          <w:p w:rsidR="00A07D48" w:rsidRPr="00C6166A" w:rsidRDefault="00A07D48" w:rsidP="00C6166A">
            <w:pPr>
              <w:spacing w:after="0" w:line="240" w:lineRule="auto"/>
              <w:ind w:left="-74"/>
              <w:rPr>
                <w:rFonts w:ascii="Arial" w:hAnsi="Arial" w:cs="Arial"/>
                <w:sz w:val="20"/>
                <w:szCs w:val="20"/>
              </w:rPr>
            </w:pPr>
            <w:r w:rsidRPr="00C6166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66825" cy="638175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7D48" w:rsidRPr="00C6166A" w:rsidTr="00C6166A">
        <w:trPr>
          <w:trHeight w:val="290"/>
        </w:trPr>
        <w:tc>
          <w:tcPr>
            <w:tcW w:w="3035" w:type="dxa"/>
            <w:gridSpan w:val="2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A07D48" w:rsidRPr="00C6166A" w:rsidRDefault="00BB4C9B" w:rsidP="00C6166A">
            <w:pPr>
              <w:pStyle w:val="stbilgi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Döküman Kodu:HD.RB.31</w:t>
            </w:r>
          </w:p>
        </w:tc>
        <w:tc>
          <w:tcPr>
            <w:tcW w:w="2778" w:type="dxa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Yayın Tarihi:</w:t>
            </w:r>
            <w:r w:rsidR="00C6166A" w:rsidRPr="00C6166A"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1843" w:type="dxa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Tarihi:</w:t>
            </w:r>
            <w:r w:rsidR="00C6166A" w:rsidRPr="00C6166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01" w:type="dxa"/>
          </w:tcPr>
          <w:p w:rsidR="00A07D48" w:rsidRPr="00C6166A" w:rsidRDefault="00A07D48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A07D48" w:rsidRPr="00C6166A" w:rsidRDefault="00A07D48" w:rsidP="0021766D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 xml:space="preserve">Sayfa No: </w:t>
            </w:r>
            <w:r w:rsidR="0021766D">
              <w:rPr>
                <w:rFonts w:ascii="Arial" w:hAnsi="Arial" w:cs="Arial"/>
                <w:b/>
              </w:rPr>
              <w:t>1</w:t>
            </w:r>
            <w:r w:rsidRPr="00C6166A">
              <w:rPr>
                <w:rFonts w:ascii="Arial" w:hAnsi="Arial" w:cs="Arial"/>
                <w:b/>
              </w:rPr>
              <w:t xml:space="preserve"> /3</w:t>
            </w:r>
          </w:p>
        </w:tc>
      </w:tr>
    </w:tbl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166A">
        <w:rPr>
          <w:rFonts w:ascii="Arial" w:hAnsi="Arial" w:cs="Arial"/>
          <w:b/>
          <w:bCs/>
          <w:sz w:val="20"/>
          <w:szCs w:val="20"/>
        </w:rPr>
        <w:t>LAPAROSKOPİK SÜRRENALEKTOMİ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Sayın Hasta, Sayın Veli/Vasi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Genel anestezi kullanılır. Böbrek üstü bezinin tamamının çıkarılmasıdır. Diğer böbrek üstü</w:t>
      </w:r>
      <w:r w:rsidR="00C6166A" w:rsidRPr="00C6166A">
        <w:rPr>
          <w:rFonts w:ascii="Arial" w:hAnsi="Arial" w:cs="Arial"/>
          <w:sz w:val="20"/>
          <w:szCs w:val="20"/>
        </w:rPr>
        <w:t xml:space="preserve"> bezi </w:t>
      </w:r>
      <w:r w:rsidRPr="00C6166A">
        <w:rPr>
          <w:rFonts w:ascii="Arial" w:hAnsi="Arial" w:cs="Arial"/>
          <w:sz w:val="20"/>
          <w:szCs w:val="20"/>
        </w:rPr>
        <w:t>çıkarılan bezin tüm fonksiyonlarını üstlenecektir. Gövdenin yan bölümünde 4 veya 5 adet</w:t>
      </w:r>
      <w:r w:rsidR="00C6166A" w:rsidRPr="00C6166A">
        <w:rPr>
          <w:rFonts w:ascii="Arial" w:hAnsi="Arial" w:cs="Arial"/>
          <w:sz w:val="20"/>
          <w:szCs w:val="20"/>
        </w:rPr>
        <w:t xml:space="preserve"> </w:t>
      </w:r>
      <w:r w:rsidR="00C6166A">
        <w:rPr>
          <w:rFonts w:ascii="Arial" w:hAnsi="Arial" w:cs="Arial"/>
          <w:sz w:val="20"/>
          <w:szCs w:val="20"/>
        </w:rPr>
        <w:t xml:space="preserve">1 cm.lik </w:t>
      </w:r>
      <w:r w:rsidRPr="00C6166A">
        <w:rPr>
          <w:rFonts w:ascii="Arial" w:hAnsi="Arial" w:cs="Arial"/>
          <w:sz w:val="20"/>
          <w:szCs w:val="20"/>
        </w:rPr>
        <w:t>kesiden yerleştirilen özel ekipman kullanılarak operasyon gerçekleştirilir. Karın altkesiminde, çıkartılan kitlenin boyutuna göre bir kesi yapılarak kitle dışarı alınır. Operasyonun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başlangıcında hastalara burundan mideye uzanan bir tüp takılarak mide ve barsak içeriğinin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temizlenmesi ve operasyonun kolaylaştırılması amaçlanır. Bu tüp ameliyattan sonra birkaç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gün içinde çekilecektir.Operasyon başlangıcında mesaneye bir kateter ve bitiminde operasyon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bölgesine bir dren yerleştirilir.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B- ANESTEZİ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Anestezi ve içerdiği riskler hakkında bilgi edinmek için ‘anestezi hakkında’ bilgilendirme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sayfaları</w:t>
      </w:r>
      <w:r w:rsidR="00C6166A">
        <w:rPr>
          <w:rFonts w:ascii="Arial" w:hAnsi="Arial" w:cs="Arial"/>
          <w:sz w:val="20"/>
          <w:szCs w:val="20"/>
        </w:rPr>
        <w:t xml:space="preserve">na </w:t>
      </w:r>
      <w:r w:rsidRPr="00C6166A">
        <w:rPr>
          <w:rFonts w:ascii="Arial" w:hAnsi="Arial" w:cs="Arial"/>
          <w:sz w:val="20"/>
          <w:szCs w:val="20"/>
        </w:rPr>
        <w:t>bakınız. Eğer herhangi bir endişeniz varsa konu hakkında anestezistiniz ile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konuş</w:t>
      </w:r>
      <w:r w:rsidR="00C6166A">
        <w:rPr>
          <w:rFonts w:ascii="Arial" w:hAnsi="Arial" w:cs="Arial"/>
          <w:sz w:val="20"/>
          <w:szCs w:val="20"/>
        </w:rPr>
        <w:t xml:space="preserve">abilirsiniz. </w:t>
      </w:r>
      <w:r w:rsidRPr="00C6166A">
        <w:rPr>
          <w:rFonts w:ascii="Arial" w:hAnsi="Arial" w:cs="Arial"/>
          <w:sz w:val="20"/>
          <w:szCs w:val="20"/>
        </w:rPr>
        <w:t>Bilgilendirme sayfası size verilmemişse lütfen bir tane isteyiniz.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C- BİR AMELİYATIN GENEL RİSKLERİ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a-</w:t>
      </w:r>
      <w:r w:rsidRPr="00C6166A">
        <w:rPr>
          <w:rFonts w:ascii="Arial" w:hAnsi="Arial" w:cs="Arial"/>
          <w:sz w:val="20"/>
          <w:szCs w:val="20"/>
        </w:rPr>
        <w:t xml:space="preserve"> Akciğerlerin küçük bölgeleri kapanabilir, bu da akciğer enfeksiyonu riskini artırabilir.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Antibiyotik tedavisi ve fizyoterapi 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b-</w:t>
      </w:r>
      <w:r w:rsidRPr="00C6166A">
        <w:rPr>
          <w:rFonts w:ascii="Arial" w:hAnsi="Arial" w:cs="Arial"/>
          <w:sz w:val="20"/>
          <w:szCs w:val="20"/>
        </w:rPr>
        <w:t xml:space="preserve"> Bacaklardaki pıhtılaşmalar ( derin ven trombozu) ağrı ve şişmeye neden olabilir.Nadiren bu pıhtıları bir kısmı yerinden kopup akciğere gider ve ölümcül olabilir.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c-</w:t>
      </w:r>
      <w:r w:rsidRPr="00C6166A">
        <w:rPr>
          <w:rFonts w:ascii="Arial" w:hAnsi="Arial" w:cs="Arial"/>
          <w:sz w:val="20"/>
          <w:szCs w:val="20"/>
        </w:rPr>
        <w:t xml:space="preserve"> Kalbin yükünün artması nedeniyle kalp krizi gelişebilir.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d-</w:t>
      </w:r>
      <w:r w:rsidRPr="00C6166A">
        <w:rPr>
          <w:rFonts w:ascii="Arial" w:hAnsi="Arial" w:cs="Arial"/>
          <w:sz w:val="20"/>
          <w:szCs w:val="20"/>
        </w:rPr>
        <w:t xml:space="preserve"> İşlem nedeniyle ölüm olabilir.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D- BU AMELİYATIN RİSKLERİ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 xml:space="preserve">Bu ameliyatın taşıdığı bazı riskler/ komplikasyonlar vardır. </w:t>
      </w:r>
      <w:r w:rsidRPr="00C6166A">
        <w:rPr>
          <w:rFonts w:ascii="Arial" w:hAnsi="Arial" w:cs="Arial"/>
          <w:b/>
          <w:sz w:val="20"/>
          <w:szCs w:val="20"/>
        </w:rPr>
        <w:t>Ameliyattaki riskler: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1. Operasyon sırasında vücudunuza verilen pozisyona bağlı olarak operasyondan sonra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kas ağrıları olabilir.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2. Büyük böbrek ve böbrek üstü bezi damarlarından kanama olabilir ( % 4,7). Bu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durumda ek cerrahi girişim ve kan nakli 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3. Karın içinde gizli kanama olabilir. Bu durumda sıvı tedavisi veya ek cerrahi girişim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4. Karın içinde cerahat birikmesi gibi enfeksiyon komplikasyonları olabilir. Bu durumda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ek cerrahi ile boşaltılması veya antibiyotik tedavisi 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5. Özellikle erkek hastalarda, ameliyat sonrası idrar kesesinin rahat boşalamaması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nedeniyle idrar sondası gerekebilir. Bu durum genelde geçicidir ve idrar kesesi fonksiyonları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normale gelene kadardır.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6. Barsak içeriğinin kaçağına neden olan barsak yaralanması olabilir ( %0,7). Bu</w:t>
      </w:r>
      <w:r w:rsidR="00C6166A">
        <w:rPr>
          <w:rFonts w:ascii="Arial" w:hAnsi="Arial" w:cs="Arial"/>
          <w:sz w:val="20"/>
          <w:szCs w:val="20"/>
        </w:rPr>
        <w:t xml:space="preserve">  </w:t>
      </w:r>
      <w:r w:rsidRPr="00C6166A">
        <w:rPr>
          <w:rFonts w:ascii="Arial" w:hAnsi="Arial" w:cs="Arial"/>
          <w:sz w:val="20"/>
          <w:szCs w:val="20"/>
        </w:rPr>
        <w:t>durumda ek cerrahi girişim 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7. Ameliyat sonrası barsak hareketleri yavaşlayabilir ve durabilir ( %0,7). Barsaklarda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şişkinlik ve kusmalara neden olabilen bu durumda ek tedavi ihtiyacı doğacaktır.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8. Ameliyat sırasında karaciğer, pankreas, dalak veya akciğer zarı travması yaşanabilir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(%1).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9. Bazı hastalarda yara iyileşmesi anormal olabilir (%2,5), bu durumda yara ağzı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kalınlaşabilir, kızarık veya ağrılı olabilir.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10. Ameliyat sonrası barsaklar arasında yapışıklıklar gelişebilir (%0,7). Kısa dönemde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veya uzun dönemde gelişebilecek bu komplikasyonda cerrahi tedavi gerekebilir.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11. Böbrek üstü bezinden salgılanan hormonların tansiyon nabız gibi hayati parametreleri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düzenlemesi nedeniyle böbrek üstü bezinden kaynaklanan bu tümörün bu hormonları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salgılama olasılığı da yüksektir. Bu yüzden ameliyat öncesi yapılan tetkiklerde böyle bir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durum saptanırsa endokrinoloji bölümünün de önerileriyle bu yönde önce tedavi alınması,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ameliyat öncesi ve ameliyat sırasında bu yönde gerekli ilaçların hazır bulundurularak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ameliyata girilmesi gerekmektedir. Ameliyat sırasında tüm önlemler alınsa bile ani gelişen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yüksek tansiyon veya düşük tansiyon ile nabız sayısında ani artışlar ve azalmalar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olabilmektedir. Çok nadiren tansiyon yükselmesi tüm müdahelelere rağmen kontrol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edilemekte ve kafa içi kanamaya veya kalp krizine neden olabilmektedir. Bu durumlarda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hastaların yoğun bakım ihtiyacı olabilmekte hatta bazı hastalar da kaybedilebilmektedir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12. Cerrahi sırasında böbrek üstü bezinin barsaklara veya böbreğe ileri derecede yapışık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olması durumunda açık cerrahiye geçilebilir. Gerekirse barsağın o bölümünü ve aynı taraftaki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böbreği de çıkarmak gerekebilir. Bu durum ameliyat yarasının daha uzun olmasına, geçici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veya kalıcı ileostomi veya kolostomi gereksinimine ve hastanede kalış süresinin uzamasına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neden olabilir</w:t>
      </w:r>
    </w:p>
    <w:p w:rsid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541"/>
        <w:gridCol w:w="2778"/>
        <w:gridCol w:w="1843"/>
        <w:gridCol w:w="1134"/>
        <w:gridCol w:w="1701"/>
      </w:tblGrid>
      <w:tr w:rsidR="00C6166A" w:rsidRPr="00C6166A" w:rsidTr="00C6166A">
        <w:trPr>
          <w:trHeight w:val="1215"/>
        </w:trPr>
        <w:tc>
          <w:tcPr>
            <w:tcW w:w="2494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</w:rPr>
            </w:pPr>
            <w:r w:rsidRPr="00C6166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62075" cy="685800"/>
                  <wp:effectExtent l="19050" t="0" r="9525" b="0"/>
                  <wp:docPr id="1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3"/>
          </w:tcPr>
          <w:p w:rsidR="00C6166A" w:rsidRPr="00C6166A" w:rsidRDefault="00C6166A" w:rsidP="00C616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66A" w:rsidRPr="00C6166A" w:rsidRDefault="0021766D" w:rsidP="00C616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LAPA- SUB </w:t>
            </w:r>
            <w:r w:rsidRPr="00C616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6166A" w:rsidRPr="00C6166A">
              <w:rPr>
                <w:rFonts w:ascii="Arial" w:hAnsi="Arial" w:cs="Arial"/>
                <w:b/>
                <w:color w:val="000000"/>
                <w:sz w:val="20"/>
                <w:szCs w:val="20"/>
              </w:rPr>
              <w:t>AMELİYATI İÇİN BİLGİLENDİRİLMİŞ HASTA RIZA BELGESİ</w:t>
            </w:r>
          </w:p>
        </w:tc>
        <w:tc>
          <w:tcPr>
            <w:tcW w:w="2835" w:type="dxa"/>
            <w:gridSpan w:val="2"/>
          </w:tcPr>
          <w:p w:rsidR="00C6166A" w:rsidRPr="00C6166A" w:rsidRDefault="00C6166A" w:rsidP="00C6166A">
            <w:pPr>
              <w:spacing w:after="0" w:line="240" w:lineRule="auto"/>
              <w:ind w:left="-74"/>
              <w:rPr>
                <w:rFonts w:ascii="Arial" w:hAnsi="Arial" w:cs="Arial"/>
                <w:sz w:val="20"/>
                <w:szCs w:val="20"/>
              </w:rPr>
            </w:pPr>
            <w:r w:rsidRPr="00C6166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66825" cy="638175"/>
                  <wp:effectExtent l="0" t="0" r="0" b="0"/>
                  <wp:docPr id="1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6A" w:rsidRPr="00C6166A" w:rsidTr="00C6166A">
        <w:trPr>
          <w:trHeight w:val="290"/>
        </w:trPr>
        <w:tc>
          <w:tcPr>
            <w:tcW w:w="3035" w:type="dxa"/>
            <w:gridSpan w:val="2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Döküman Kodu:HD.RB.</w:t>
            </w:r>
            <w:r w:rsidR="0097046E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778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843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134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01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21766D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 xml:space="preserve">Sayfa No: </w:t>
            </w:r>
            <w:r w:rsidR="0021766D">
              <w:rPr>
                <w:rFonts w:ascii="Arial" w:hAnsi="Arial" w:cs="Arial"/>
                <w:b/>
              </w:rPr>
              <w:t>2</w:t>
            </w:r>
            <w:r w:rsidRPr="00C6166A">
              <w:rPr>
                <w:rFonts w:ascii="Arial" w:hAnsi="Arial" w:cs="Arial"/>
                <w:b/>
              </w:rPr>
              <w:t xml:space="preserve"> /3</w:t>
            </w:r>
          </w:p>
        </w:tc>
      </w:tr>
    </w:tbl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13. Ameliyat sırasında çalışma sahasının oluşturulması için kullanılan CO2 emilmesi ve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cilt altında, akciğerlerde ve barsaklarda birikmesi riski vardır. Uygun tedavilerle düzeltilebilir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bir durumdur.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Hastalığınız hakkında bilmeniz gerekenler:</w:t>
      </w:r>
      <w:r w:rsidRPr="00C6166A">
        <w:rPr>
          <w:rFonts w:ascii="Arial" w:hAnsi="Arial" w:cs="Arial"/>
          <w:sz w:val="20"/>
          <w:szCs w:val="20"/>
        </w:rPr>
        <w:t xml:space="preserve"> Böbreküstü bezinizde tümör bulunmaktadır. Bu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tümörün yapılan radyolojik ve laboratuar tetkikleri sonrasında büyük olasılıkla kötü huylu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olduğu düşünülmektedir. Tümörün kesin tanısının konması için yapılacak biyopsi genellikle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yeterli sonuç vermediğinden cerrahi esnasında bir kısmının alınıp frozen (patolojik) inceleme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sonrasında sonuca göre böbrek üstü bezinizin tamamının veya kitlenin yeri sayı ve boyutuna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göre çok nadiren bir kısmının alınması düşünülmektedir. Nihayi sonuç ancak böbrek üstü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bezinin tamamının çıkarılması sonrası patolojik inceleme sonrasında öğrenilecektir.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Girişimin yapılmaması durumunda neler olabilir?: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Tümörlü böbreküstü bezi vücudunuzda kalmaya devam etmesi durumunda zaman içinde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etkilenen böbrek üstü bezinin fonksiyonlarında kayıp, aşırı miktarda hormon salgılanması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veya hormon yetersizliği (bu hormonların vücudun çeşitli organlarında gösterdiği etkiye bağlı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yaygın yan etkiler), büyüyen kitlenin komşu organlara (barsaklar, pankreas, dalak, karaciğer,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akciğer vb) basısına bağlı bulgular (bulantı-kusma, barsak tıkanıklığı, karaciğer ve pankreas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yetmezliği, solunum sıkıntısı, ağrı gibi), hastalığın vücudunuzdaki diğer organlara yayılması,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genel vücut bitkinliği, kemik ağrıları yaşam sürenizin kısalması gibi şikayetler gelişebilir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Nasıl bir tedavi/girişim uygulanacak (Alternatif tedaviler hakkında bilgi içermelidir )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Genel anestezi kullanılır. Böbrek üstü bezinin tamamının çıkarılmasıdır. Diğer böbrek üstü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bezi çıkarılan bezin tüm fonksiyonlarını üstlenecektir. Böbrek üstü bezi böbreğe ileri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derecede yapışıksa o taraf böbreğin bir kısmı veya tamamıda çıkarılabilmektedir. Gövdenin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yan bölümünde 4 veya 5 adet 1 cm.lik kesiden yerleştirilen özel ekipman kullanılarak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operasyon gerçekleştirilir. Karın alt kesiminde, çıkartılan spesimenin boyutuna göre bir kesi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yapılarak organ dışarı alınır. Operasyonun başlangıcında hastalara burundan mideye uzanan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bir tüp takılarak mide ve barsak içeriğinin temizlenmesi ve operasyonun kolaylaştırılması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amaçlanır. Bu tüp ameliyattan sonra birkaç gün içinde çekilecektir. Operasyon başlangıcında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mesaneye bir kateter ve bitiminde operasyon bölgesine bir dren yerleştirilir.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Alternatif olarak aynı işlem açık cerrahi yöntemi ile yapılabilir. Gövdenin ön bölümünde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kaburgaların 2-3 cm altından kaburgalara paralel 25-30 cm.lik bir kesi ile operasyon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gerçekleştirilir. Başarı şansı benzer olup cerrahiye bağlı komplikasyonlar da benzerdir.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Laparoskopik yöntemle kozmetik sonuçlar daha iyi olmakta, hasta daha az ağrı duymakta,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iyileşme daha hızlı olmakta ve hasta hastanede daha az yatmaktadır.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Hastanın girişimin şekli, zamanı, yan etkileri, başarı oranı ve başarıdan ne kastedildiği,</w:t>
      </w:r>
    </w:p>
    <w:p w:rsidR="00CB6092" w:rsidRPr="00CB6092" w:rsidRDefault="00CB6092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6092">
        <w:rPr>
          <w:rFonts w:ascii="Arial" w:hAnsi="Arial" w:cs="Arial"/>
          <w:b/>
          <w:sz w:val="20"/>
          <w:szCs w:val="20"/>
        </w:rPr>
        <w:t>TAHMİNİ İŞLEM SÜRESİ</w:t>
      </w:r>
      <w:r w:rsidRPr="00CB6092">
        <w:rPr>
          <w:rFonts w:ascii="Arial" w:hAnsi="Arial" w:cs="Arial"/>
          <w:sz w:val="20"/>
          <w:szCs w:val="20"/>
        </w:rPr>
        <w:t>: YAKLAŞIK 60 DAKİKADIR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A07D48" w:rsidRPr="00C6166A">
        <w:rPr>
          <w:rFonts w:ascii="Arial" w:hAnsi="Arial" w:cs="Arial"/>
          <w:b/>
          <w:sz w:val="20"/>
          <w:szCs w:val="20"/>
        </w:rPr>
        <w:t>irişim sonrası ile ilgili soruları</w:t>
      </w:r>
      <w:r w:rsidR="00A07D48" w:rsidRPr="00C6166A">
        <w:rPr>
          <w:rFonts w:ascii="Arial" w:hAnsi="Arial" w:cs="Arial"/>
          <w:sz w:val="20"/>
          <w:szCs w:val="20"/>
        </w:rPr>
        <w:t>: Genel anestezi altında önceden planlanmış olarak işlem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gerçekleştirilir.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-Bu ameliyatın taşıdığı bazı riskler/ komplikasyonlar mevcut olup bunlar yukarıda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belirtilmiştir.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-Bu cerrahi sonrası başarı böbrek üstü bezi ve kitlenin tamamen çıkarılmasıdır. Ameliyatın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başarı şansı %100’e yakındır.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Girişimden önce hastanın dikkat etmesi gereken hususlar:</w:t>
      </w: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Ameliyat olacağınız geceden itibaren hiçbirşey yememelisiniz. Aspirin gibi kan sulandırıcı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ilaçları 1 hafta önceden kesmelisiniz.</w:t>
      </w:r>
    </w:p>
    <w:p w:rsidR="00C6166A" w:rsidRP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7D48" w:rsidRPr="00C6166A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Girişimden sonra hastanın dikkat etmesi gereken hususlar:</w:t>
      </w:r>
    </w:p>
    <w:p w:rsidR="00A07D48" w:rsidRDefault="00A07D48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66A">
        <w:rPr>
          <w:rFonts w:ascii="Arial" w:hAnsi="Arial" w:cs="Arial"/>
          <w:sz w:val="20"/>
          <w:szCs w:val="20"/>
        </w:rPr>
        <w:t>1 hafta sonra dikişlerinizi aldırmalısınız. 2 aylık bir sürede ağır egzersiz ve yük taşımaktan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kaçınmalısınız. Size önerilen zaman aralıklarında kontrollere gelmeli ve mevcut hastalığınızı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kontrol ettirmelisiniz. Günlük en az 2 litre sıvı almalısınız. Size önerilen diyet ve ilaç</w:t>
      </w:r>
      <w:r w:rsidR="00C6166A">
        <w:rPr>
          <w:rFonts w:ascii="Arial" w:hAnsi="Arial" w:cs="Arial"/>
          <w:sz w:val="20"/>
          <w:szCs w:val="20"/>
        </w:rPr>
        <w:t xml:space="preserve"> </w:t>
      </w:r>
      <w:r w:rsidRPr="00C6166A">
        <w:rPr>
          <w:rFonts w:ascii="Arial" w:hAnsi="Arial" w:cs="Arial"/>
          <w:sz w:val="20"/>
          <w:szCs w:val="20"/>
        </w:rPr>
        <w:t>tedavilerine uymalısınız.</w:t>
      </w:r>
    </w:p>
    <w:p w:rsidR="0021766D" w:rsidRPr="00C6166A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1766D" w:rsidRPr="00C6166A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166A">
        <w:rPr>
          <w:rFonts w:ascii="Arial" w:hAnsi="Arial" w:cs="Arial"/>
          <w:b/>
          <w:sz w:val="20"/>
          <w:szCs w:val="20"/>
        </w:rPr>
        <w:t>Hekimin hasta hakkında bilmek istedikleri:</w:t>
      </w:r>
    </w:p>
    <w:p w:rsidR="0021766D" w:rsidRPr="00C6166A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66D">
        <w:rPr>
          <w:rFonts w:ascii="Arial" w:hAnsi="Arial" w:cs="Arial"/>
          <w:b/>
          <w:sz w:val="20"/>
          <w:szCs w:val="20"/>
        </w:rPr>
        <w:t>Kullandığı ilaçlar:</w:t>
      </w:r>
      <w:r w:rsidRPr="00C6166A">
        <w:rPr>
          <w:rFonts w:ascii="Arial" w:hAnsi="Arial" w:cs="Arial"/>
          <w:sz w:val="20"/>
          <w:szCs w:val="20"/>
        </w:rPr>
        <w:t xml:space="preserve"> Kanama zamanı:</w:t>
      </w:r>
    </w:p>
    <w:p w:rsidR="0021766D" w:rsidRPr="00C6166A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1766D">
        <w:rPr>
          <w:rFonts w:ascii="Arial" w:hAnsi="Arial" w:cs="Arial"/>
          <w:b/>
          <w:sz w:val="20"/>
          <w:szCs w:val="20"/>
        </w:rPr>
        <w:t>Alerji:</w:t>
      </w:r>
      <w:r w:rsidRPr="00C6166A">
        <w:rPr>
          <w:rFonts w:ascii="Arial" w:hAnsi="Arial" w:cs="Arial"/>
          <w:sz w:val="20"/>
          <w:szCs w:val="20"/>
        </w:rPr>
        <w:t xml:space="preserve"> Diğer hastalıklar:</w:t>
      </w:r>
    </w:p>
    <w:p w:rsidR="0021766D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1766D">
        <w:rPr>
          <w:rFonts w:ascii="Arial" w:hAnsi="Arial" w:cs="Arial"/>
          <w:b/>
          <w:sz w:val="20"/>
          <w:szCs w:val="20"/>
        </w:rPr>
        <w:t>Hekimin bilgilendirme konuşmasına ait notları: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………………………………………………………………………………………………….</w:t>
      </w:r>
    </w:p>
    <w:p w:rsidR="0021766D" w:rsidRDefault="0021766D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766D" w:rsidRDefault="0021766D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66A" w:rsidRDefault="00C6166A" w:rsidP="00C616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49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541"/>
        <w:gridCol w:w="2778"/>
        <w:gridCol w:w="1843"/>
        <w:gridCol w:w="1134"/>
        <w:gridCol w:w="1701"/>
      </w:tblGrid>
      <w:tr w:rsidR="00C6166A" w:rsidRPr="00C6166A" w:rsidTr="00C6166A">
        <w:trPr>
          <w:trHeight w:val="1215"/>
        </w:trPr>
        <w:tc>
          <w:tcPr>
            <w:tcW w:w="2494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</w:rPr>
            </w:pPr>
            <w:r w:rsidRPr="00C6166A">
              <w:rPr>
                <w:rFonts w:ascii="Arial" w:hAnsi="Arial" w:cs="Arial"/>
                <w:noProof/>
                <w:lang w:val="tr-TR" w:eastAsia="tr-TR"/>
              </w:rPr>
              <w:drawing>
                <wp:inline distT="0" distB="0" distL="0" distR="0">
                  <wp:extent cx="1362075" cy="685800"/>
                  <wp:effectExtent l="19050" t="0" r="9525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2" w:type="dxa"/>
            <w:gridSpan w:val="3"/>
          </w:tcPr>
          <w:p w:rsidR="00C6166A" w:rsidRPr="00C6166A" w:rsidRDefault="00C6166A" w:rsidP="00C616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166A" w:rsidRPr="00C6166A" w:rsidRDefault="0021766D" w:rsidP="00C6166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LAPA- SUB </w:t>
            </w:r>
            <w:r w:rsidR="00C6166A" w:rsidRPr="00C616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AMELİYATI İÇİN BİLGİLENDİRİLMİŞ HASTA RIZA BELGESİ</w:t>
            </w:r>
          </w:p>
        </w:tc>
        <w:tc>
          <w:tcPr>
            <w:tcW w:w="2835" w:type="dxa"/>
            <w:gridSpan w:val="2"/>
          </w:tcPr>
          <w:p w:rsidR="00C6166A" w:rsidRPr="00C6166A" w:rsidRDefault="00C6166A" w:rsidP="00C6166A">
            <w:pPr>
              <w:spacing w:after="0" w:line="240" w:lineRule="auto"/>
              <w:ind w:left="-74"/>
              <w:rPr>
                <w:rFonts w:ascii="Arial" w:hAnsi="Arial" w:cs="Arial"/>
                <w:sz w:val="20"/>
                <w:szCs w:val="20"/>
              </w:rPr>
            </w:pPr>
            <w:r w:rsidRPr="00C6166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66825" cy="638175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6A" w:rsidRPr="00C6166A" w:rsidTr="00C6166A">
        <w:trPr>
          <w:trHeight w:val="290"/>
        </w:trPr>
        <w:tc>
          <w:tcPr>
            <w:tcW w:w="3035" w:type="dxa"/>
            <w:gridSpan w:val="2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Döküman Kodu:HD.RB.</w:t>
            </w:r>
            <w:r w:rsidR="0097046E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778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843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Tarihi:-</w:t>
            </w:r>
          </w:p>
        </w:tc>
        <w:tc>
          <w:tcPr>
            <w:tcW w:w="1134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01" w:type="dxa"/>
          </w:tcPr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</w:p>
          <w:p w:rsidR="00C6166A" w:rsidRPr="00C6166A" w:rsidRDefault="00C6166A" w:rsidP="00C6166A">
            <w:pPr>
              <w:pStyle w:val="stbilgi"/>
              <w:rPr>
                <w:rFonts w:ascii="Arial" w:hAnsi="Arial" w:cs="Arial"/>
                <w:b/>
              </w:rPr>
            </w:pPr>
            <w:r w:rsidRPr="00C6166A">
              <w:rPr>
                <w:rFonts w:ascii="Arial" w:hAnsi="Arial" w:cs="Arial"/>
                <w:b/>
              </w:rPr>
              <w:t xml:space="preserve">Sayfa No: </w:t>
            </w:r>
            <w:r w:rsidR="00445CC2" w:rsidRPr="00C6166A">
              <w:rPr>
                <w:rFonts w:ascii="Arial" w:hAnsi="Arial" w:cs="Arial"/>
                <w:b/>
              </w:rPr>
              <w:fldChar w:fldCharType="begin"/>
            </w:r>
            <w:r w:rsidRPr="00C6166A">
              <w:rPr>
                <w:rFonts w:ascii="Arial" w:hAnsi="Arial" w:cs="Arial"/>
                <w:b/>
              </w:rPr>
              <w:instrText xml:space="preserve"> PAGE </w:instrText>
            </w:r>
            <w:r w:rsidR="00445CC2" w:rsidRPr="00C6166A">
              <w:rPr>
                <w:rFonts w:ascii="Arial" w:hAnsi="Arial" w:cs="Arial"/>
                <w:b/>
              </w:rPr>
              <w:fldChar w:fldCharType="separate"/>
            </w:r>
            <w:r w:rsidR="00B46F8C">
              <w:rPr>
                <w:rFonts w:ascii="Arial" w:hAnsi="Arial" w:cs="Arial"/>
                <w:b/>
                <w:noProof/>
              </w:rPr>
              <w:t>3</w:t>
            </w:r>
            <w:r w:rsidR="00445CC2" w:rsidRPr="00C6166A">
              <w:rPr>
                <w:rFonts w:ascii="Arial" w:hAnsi="Arial" w:cs="Arial"/>
                <w:b/>
              </w:rPr>
              <w:fldChar w:fldCharType="end"/>
            </w:r>
            <w:r w:rsidRPr="00C6166A">
              <w:rPr>
                <w:rFonts w:ascii="Arial" w:hAnsi="Arial" w:cs="Arial"/>
                <w:b/>
              </w:rPr>
              <w:t xml:space="preserve"> /3</w:t>
            </w:r>
          </w:p>
        </w:tc>
      </w:tr>
    </w:tbl>
    <w:p w:rsidR="0021766D" w:rsidRPr="0021766D" w:rsidRDefault="0021766D" w:rsidP="0021766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21766D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21766D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21766D" w:rsidRPr="0021766D" w:rsidRDefault="0021766D" w:rsidP="0021766D">
      <w:pPr>
        <w:pStyle w:val="NormalWeb"/>
        <w:rPr>
          <w:rFonts w:ascii="Arial" w:hAnsi="Arial" w:cs="Arial"/>
          <w:sz w:val="20"/>
          <w:szCs w:val="20"/>
        </w:rPr>
      </w:pPr>
      <w:r w:rsidRPr="0021766D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21766D" w:rsidRPr="0021766D" w:rsidRDefault="0021766D" w:rsidP="0021766D">
      <w:pPr>
        <w:pStyle w:val="NormalWeb"/>
        <w:rPr>
          <w:rFonts w:ascii="Arial" w:hAnsi="Arial" w:cs="Arial"/>
          <w:sz w:val="20"/>
          <w:szCs w:val="20"/>
        </w:rPr>
      </w:pPr>
      <w:r w:rsidRPr="0021766D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21766D" w:rsidRPr="0021766D" w:rsidRDefault="0021766D" w:rsidP="0021766D">
      <w:pPr>
        <w:pStyle w:val="NormalWeb"/>
        <w:tabs>
          <w:tab w:val="right" w:pos="10687"/>
        </w:tabs>
        <w:rPr>
          <w:rFonts w:ascii="Arial" w:hAnsi="Arial" w:cs="Arial"/>
          <w:sz w:val="20"/>
          <w:szCs w:val="20"/>
        </w:rPr>
      </w:pPr>
      <w:r w:rsidRPr="0021766D">
        <w:rPr>
          <w:rFonts w:ascii="Arial" w:hAnsi="Arial" w:cs="Arial"/>
          <w:sz w:val="20"/>
          <w:szCs w:val="20"/>
        </w:rPr>
        <w:t xml:space="preserve">Hastanın kendi el yazısı ile </w:t>
      </w:r>
      <w:r w:rsidRPr="0021766D">
        <w:rPr>
          <w:rFonts w:ascii="Arial" w:hAnsi="Arial" w:cs="Arial"/>
          <w:b/>
          <w:sz w:val="20"/>
          <w:szCs w:val="20"/>
        </w:rPr>
        <w:t>(OKUDUM, ANLADIM, KABUL EDİYORUM)</w:t>
      </w:r>
      <w:r w:rsidRPr="0021766D">
        <w:rPr>
          <w:rFonts w:ascii="Arial" w:hAnsi="Arial" w:cs="Arial"/>
          <w:sz w:val="20"/>
          <w:szCs w:val="20"/>
        </w:rPr>
        <w:t xml:space="preserve"> diye yazması gerekmektedir.</w:t>
      </w:r>
      <w:r w:rsidRPr="0021766D">
        <w:rPr>
          <w:rFonts w:ascii="Arial" w:hAnsi="Arial" w:cs="Arial"/>
          <w:sz w:val="20"/>
          <w:szCs w:val="20"/>
        </w:rPr>
        <w:tab/>
      </w:r>
    </w:p>
    <w:p w:rsidR="0021766D" w:rsidRPr="0021766D" w:rsidRDefault="00445CC2" w:rsidP="0021766D">
      <w:pPr>
        <w:pStyle w:val="NormalWeb"/>
        <w:rPr>
          <w:rFonts w:ascii="Arial" w:hAnsi="Arial" w:cs="Arial"/>
          <w:sz w:val="20"/>
          <w:szCs w:val="20"/>
        </w:rPr>
      </w:pPr>
      <w:r w:rsidRPr="00445CC2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31.25pt;width:243pt;height:89.25pt;z-index:251661312">
            <v:textbox style="mso-next-textbox:#_x0000_s1027">
              <w:txbxContent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Pr="00F77031" w:rsidRDefault="0021766D" w:rsidP="0021766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21766D" w:rsidRPr="00881F9A" w:rsidRDefault="0021766D" w:rsidP="0021766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1766D" w:rsidRPr="00881F9A" w:rsidRDefault="0021766D" w:rsidP="002176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45CC2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1026" type="#_x0000_t202" style="position:absolute;margin-left:0;margin-top:31.25pt;width:236.3pt;height:89.25pt;z-index:251660288">
            <v:textbox style="mso-next-textbox:#_x0000_s1026">
              <w:txbxContent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21766D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1766D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21766D" w:rsidRPr="00881F9A" w:rsidRDefault="0021766D" w:rsidP="0021766D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1766D" w:rsidRPr="00881F9A" w:rsidRDefault="0021766D" w:rsidP="0021766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21766D" w:rsidRDefault="0021766D" w:rsidP="0021766D"/>
              </w:txbxContent>
            </v:textbox>
          </v:shape>
        </w:pict>
      </w:r>
      <w:r w:rsidR="0021766D" w:rsidRPr="0021766D">
        <w:rPr>
          <w:rFonts w:ascii="Arial" w:hAnsi="Arial" w:cs="Arial"/>
          <w:b/>
          <w:sz w:val="20"/>
          <w:szCs w:val="20"/>
          <w:u w:val="single"/>
        </w:rPr>
        <w:t>NOT</w:t>
      </w:r>
      <w:r w:rsidR="0021766D" w:rsidRPr="0021766D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21766D" w:rsidRPr="0021766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1766D" w:rsidRPr="0021766D" w:rsidRDefault="0021766D" w:rsidP="0021766D">
      <w:pPr>
        <w:pStyle w:val="NormalWeb"/>
        <w:rPr>
          <w:rFonts w:ascii="Arial" w:hAnsi="Arial" w:cs="Arial"/>
          <w:color w:val="FF0000"/>
          <w:sz w:val="20"/>
          <w:szCs w:val="20"/>
        </w:rPr>
      </w:pPr>
    </w:p>
    <w:p w:rsidR="0021766D" w:rsidRPr="0021766D" w:rsidRDefault="0021766D" w:rsidP="0021766D">
      <w:pPr>
        <w:pStyle w:val="NormalWeb"/>
        <w:rPr>
          <w:rFonts w:ascii="Arial" w:hAnsi="Arial" w:cs="Arial"/>
          <w:sz w:val="20"/>
          <w:szCs w:val="20"/>
        </w:rPr>
      </w:pPr>
    </w:p>
    <w:p w:rsidR="0021766D" w:rsidRPr="0021766D" w:rsidRDefault="0021766D" w:rsidP="0021766D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21766D" w:rsidRPr="0021766D" w:rsidRDefault="0021766D" w:rsidP="0021766D">
      <w:pPr>
        <w:shd w:val="clear" w:color="auto" w:fill="FFFFFF"/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21766D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</w:p>
    <w:p w:rsidR="0021766D" w:rsidRPr="0021766D" w:rsidRDefault="0021766D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21766D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21766D" w:rsidRPr="0021766D" w:rsidRDefault="0021766D" w:rsidP="0021766D">
      <w:pPr>
        <w:rPr>
          <w:rFonts w:ascii="Arial" w:eastAsia="TTE14F59E0t00" w:hAnsi="Arial" w:cs="Arial"/>
          <w:sz w:val="20"/>
          <w:szCs w:val="20"/>
        </w:rPr>
      </w:pPr>
      <w:r w:rsidRPr="0021766D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21766D" w:rsidRPr="0021766D" w:rsidRDefault="00445CC2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45CC2">
        <w:rPr>
          <w:rFonts w:ascii="Arial" w:hAnsi="Arial" w:cs="Arial"/>
          <w:sz w:val="20"/>
          <w:szCs w:val="20"/>
        </w:rPr>
        <w:pict>
          <v:shape id="_x0000_s1028" type="#_x0000_t202" style="position:absolute;margin-left:78.9pt;margin-top:3.9pt;width:362.2pt;height:61.5pt;z-index:251662336">
            <v:textbox style="mso-next-textbox:#_x0000_s1028">
              <w:txbxContent>
                <w:p w:rsidR="0021766D" w:rsidRPr="0021766D" w:rsidRDefault="0021766D" w:rsidP="0021766D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21766D" w:rsidRPr="00881F9A" w:rsidRDefault="0021766D" w:rsidP="0021766D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21766D" w:rsidRDefault="0021766D" w:rsidP="0021766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1766D" w:rsidRPr="0021766D" w:rsidRDefault="0021766D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1766D" w:rsidRDefault="0021766D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1766D" w:rsidRDefault="0021766D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1766D" w:rsidRPr="0021766D" w:rsidRDefault="0021766D" w:rsidP="0021766D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1766D" w:rsidRPr="0021766D" w:rsidRDefault="0021766D" w:rsidP="00217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21766D" w:rsidRPr="0021766D" w:rsidSect="00C616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07D48"/>
    <w:rsid w:val="000943AB"/>
    <w:rsid w:val="001A51DD"/>
    <w:rsid w:val="0021766D"/>
    <w:rsid w:val="00445CC2"/>
    <w:rsid w:val="005401EE"/>
    <w:rsid w:val="00813815"/>
    <w:rsid w:val="00874134"/>
    <w:rsid w:val="00896DBF"/>
    <w:rsid w:val="0097046E"/>
    <w:rsid w:val="009945E0"/>
    <w:rsid w:val="009F37BF"/>
    <w:rsid w:val="00A07D48"/>
    <w:rsid w:val="00B46F8C"/>
    <w:rsid w:val="00BB4C9B"/>
    <w:rsid w:val="00C6166A"/>
    <w:rsid w:val="00C94586"/>
    <w:rsid w:val="00CB6092"/>
    <w:rsid w:val="00E54A9E"/>
    <w:rsid w:val="00F21C1B"/>
    <w:rsid w:val="00F3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7D48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A07D48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D4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21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21766D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21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ONUR668785 COMPANY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Özen</dc:creator>
  <cp:keywords/>
  <dc:description/>
  <cp:lastModifiedBy>Özlem Özen</cp:lastModifiedBy>
  <cp:revision>11</cp:revision>
  <cp:lastPrinted>2022-12-14T12:56:00Z</cp:lastPrinted>
  <dcterms:created xsi:type="dcterms:W3CDTF">2022-12-06T13:08:00Z</dcterms:created>
  <dcterms:modified xsi:type="dcterms:W3CDTF">2022-12-15T09:23:00Z</dcterms:modified>
</cp:coreProperties>
</file>